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827FD9" w:rsidP="00777436">
      <w:pPr>
        <w:ind w:right="-1"/>
        <w:jc w:val="both"/>
        <w:rPr>
          <w:b/>
        </w:rPr>
      </w:pPr>
      <w:r w:rsidRPr="00827FD9">
        <w:rPr>
          <w:b/>
        </w:rPr>
        <w:t>26.07.2023</w:t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</w:r>
      <w:r w:rsidRPr="00827FD9">
        <w:rPr>
          <w:b/>
        </w:rPr>
        <w:tab/>
        <w:t xml:space="preserve"> </w:t>
      </w:r>
      <w:r>
        <w:rPr>
          <w:b/>
        </w:rPr>
        <w:t xml:space="preserve">                             134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806F42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07E5"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806F42">
              <w:rPr>
                <w:rFonts w:ascii="Times New Roman" w:hAnsi="Times New Roman" w:cs="Times New Roman"/>
                <w:sz w:val="24"/>
                <w:szCs w:val="24"/>
              </w:rPr>
              <w:t>26, корпус 3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623FB0" w:rsidP="00806F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623FB0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E07E5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623FB0">
              <w:rPr>
                <w:sz w:val="24"/>
                <w:szCs w:val="24"/>
              </w:rPr>
              <w:t>4а</w:t>
            </w:r>
            <w:r w:rsidR="00984700">
              <w:rPr>
                <w:sz w:val="24"/>
                <w:szCs w:val="24"/>
              </w:rPr>
              <w:t>(</w:t>
            </w:r>
            <w:r w:rsidR="00623FB0">
              <w:rPr>
                <w:sz w:val="24"/>
                <w:szCs w:val="24"/>
              </w:rPr>
              <w:t>1-8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CE07E5">
              <w:rPr>
                <w:sz w:val="24"/>
                <w:szCs w:val="24"/>
              </w:rPr>
              <w:t>3202</w:t>
            </w:r>
            <w:r w:rsidR="001935FA" w:rsidRPr="00971BB5">
              <w:rPr>
                <w:sz w:val="24"/>
                <w:szCs w:val="24"/>
              </w:rPr>
              <w:t>:</w:t>
            </w:r>
            <w:r w:rsidR="00623FB0">
              <w:rPr>
                <w:sz w:val="24"/>
                <w:szCs w:val="24"/>
              </w:rPr>
              <w:t>4655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806F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806F42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</w:r>
      <w:r w:rsidR="00623FB0">
        <w:rPr>
          <w:szCs w:val="28"/>
        </w:rPr>
        <w:t>840</w:t>
      </w:r>
      <w:r>
        <w:rPr>
          <w:szCs w:val="28"/>
        </w:rPr>
        <w:t> 000 (</w:t>
      </w:r>
      <w:r w:rsidR="00623FB0">
        <w:rPr>
          <w:szCs w:val="28"/>
        </w:rPr>
        <w:t>В</w:t>
      </w:r>
      <w:r w:rsidR="00806F42">
        <w:rPr>
          <w:szCs w:val="28"/>
        </w:rPr>
        <w:t>осем</w:t>
      </w:r>
      <w:r w:rsidR="00984700">
        <w:rPr>
          <w:szCs w:val="28"/>
        </w:rPr>
        <w:t>ь</w:t>
      </w:r>
      <w:r w:rsidR="00623FB0">
        <w:rPr>
          <w:szCs w:val="28"/>
        </w:rPr>
        <w:t>сот</w:t>
      </w:r>
      <w:r w:rsidR="0005622B">
        <w:rPr>
          <w:szCs w:val="28"/>
        </w:rPr>
        <w:t xml:space="preserve"> </w:t>
      </w:r>
      <w:r w:rsidR="00623FB0">
        <w:rPr>
          <w:szCs w:val="28"/>
        </w:rPr>
        <w:t>сорок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623FB0" w:rsidRPr="00623FB0">
        <w:rPr>
          <w:szCs w:val="28"/>
        </w:rPr>
        <w:t>840 000 (Восемьсот сорок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C42" w:rsidRDefault="00896C42" w:rsidP="00D4507F">
      <w:r>
        <w:separator/>
      </w:r>
    </w:p>
  </w:endnote>
  <w:endnote w:type="continuationSeparator" w:id="0">
    <w:p w:rsidR="00896C42" w:rsidRDefault="00896C42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C42" w:rsidRDefault="00896C42" w:rsidP="00D4507F">
      <w:r>
        <w:separator/>
      </w:r>
    </w:p>
  </w:footnote>
  <w:footnote w:type="continuationSeparator" w:id="0">
    <w:p w:rsidR="00896C42" w:rsidRDefault="00896C42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863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47624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0F6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B0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18E3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06F42"/>
    <w:rsid w:val="008107EF"/>
    <w:rsid w:val="00821A69"/>
    <w:rsid w:val="00822614"/>
    <w:rsid w:val="00822BA9"/>
    <w:rsid w:val="00823E6A"/>
    <w:rsid w:val="008271AD"/>
    <w:rsid w:val="00827FD9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6C42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00DE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177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2444-58AA-4D2A-A9B8-5A1DE1E6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3</cp:revision>
  <cp:lastPrinted>2023-03-30T08:42:00Z</cp:lastPrinted>
  <dcterms:created xsi:type="dcterms:W3CDTF">2023-07-25T11:27:00Z</dcterms:created>
  <dcterms:modified xsi:type="dcterms:W3CDTF">2023-07-27T10:48:00Z</dcterms:modified>
</cp:coreProperties>
</file>